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69" w:rsidRPr="003F70D3" w:rsidRDefault="001D2869" w:rsidP="001D2869">
      <w:pPr>
        <w:spacing w:after="0" w:line="240" w:lineRule="auto"/>
      </w:pPr>
      <w:r w:rsidRPr="001A25DF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Инвестиционное предложение:</w:t>
      </w:r>
    </w:p>
    <w:p w:rsidR="001D2869" w:rsidRPr="00B854FE" w:rsidRDefault="001D2869" w:rsidP="001D286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Комплексная переработка дрожжей на базе </w:t>
      </w:r>
      <w:r w:rsidR="00100FBE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нитарного предприятия «Ошмянский дрожжевой завод»</w:t>
      </w: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2694"/>
        <w:gridCol w:w="6945"/>
      </w:tblGrid>
      <w:tr w:rsidR="001D2869" w:rsidRPr="001E6101" w:rsidTr="001D2869">
        <w:trPr>
          <w:trHeight w:val="621"/>
          <w:tblCellSpacing w:w="20" w:type="dxa"/>
        </w:trPr>
        <w:tc>
          <w:tcPr>
            <w:tcW w:w="2634" w:type="dxa"/>
            <w:shd w:val="clear" w:color="auto" w:fill="E0E0E0"/>
          </w:tcPr>
          <w:p w:rsidR="001D2869" w:rsidRPr="00FC7FD8" w:rsidRDefault="001D2869" w:rsidP="0013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  <w:p w:rsidR="001D2869" w:rsidRPr="00FC7FD8" w:rsidRDefault="001D2869" w:rsidP="0013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</w:p>
        </w:tc>
        <w:tc>
          <w:tcPr>
            <w:tcW w:w="6885" w:type="dxa"/>
            <w:shd w:val="clear" w:color="auto" w:fill="auto"/>
          </w:tcPr>
          <w:p w:rsidR="001D2869" w:rsidRPr="00FF19D4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Инвестиционное предложение предполагает внедрение технологии комплексной переработки дрожжей с получение ценных продуктов с высокой добавленной стоимостью – дрожжевого экстракта, адсорбента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микотоксинов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дрожжей кормовых неактивных. </w:t>
            </w:r>
          </w:p>
        </w:tc>
      </w:tr>
      <w:tr w:rsidR="001D2869" w:rsidRPr="001E6101" w:rsidTr="001D2869">
        <w:trPr>
          <w:trHeight w:val="621"/>
          <w:tblCellSpacing w:w="20" w:type="dxa"/>
        </w:trPr>
        <w:tc>
          <w:tcPr>
            <w:tcW w:w="2634" w:type="dxa"/>
            <w:shd w:val="clear" w:color="auto" w:fill="E0E0E0"/>
          </w:tcPr>
          <w:p w:rsidR="001D2869" w:rsidRPr="00FC7FD8" w:rsidRDefault="001D2869" w:rsidP="0013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информация об инвестиционном предложении</w:t>
            </w:r>
          </w:p>
        </w:tc>
        <w:tc>
          <w:tcPr>
            <w:tcW w:w="6885" w:type="dxa"/>
            <w:shd w:val="clear" w:color="auto" w:fill="auto"/>
          </w:tcPr>
          <w:p w:rsidR="001D2869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инвестиционного предложения позволит получить новый вид отечественной пищевой продукции – дрожжевой экстракт, на основе которого станет возможным производство современного адсорбента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микотоксинов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расширение ассортимента обогащенной пищевой продукции, балансировка пищевых продуктов по витаминному и аминокислотному составу, увеличение биологической ценности белков в кормах для животных за счет производства высокоценного белково-витаминного продукта – кормовых дрожжей.</w:t>
            </w:r>
          </w:p>
          <w:p w:rsidR="001D2869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инвестиционного предложения:</w:t>
            </w:r>
          </w:p>
          <w:p w:rsidR="001D2869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развитая инфраструктура и хорошее состояние производственных площадей (земельные участки, водоснабжение, электричество, отопление, канализация);</w:t>
            </w:r>
          </w:p>
          <w:p w:rsidR="001D2869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дешевого сырья – мелассы;</w:t>
            </w:r>
          </w:p>
          <w:p w:rsidR="001D2869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квалифицированные трудовые ресурсы с многолетним опытом работы;</w:t>
            </w:r>
          </w:p>
          <w:p w:rsidR="001D2869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открытый доступ к местному рынку и рынку стран ЕАЭС;</w:t>
            </w:r>
          </w:p>
          <w:p w:rsidR="001D2869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уникальное производство;</w:t>
            </w:r>
          </w:p>
          <w:p w:rsidR="001D2869" w:rsidRPr="00FF19D4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постоянно растущий спрос, гарантирующий высокие продажи.</w:t>
            </w:r>
          </w:p>
        </w:tc>
      </w:tr>
      <w:tr w:rsidR="001D2869" w:rsidRPr="00FC7FD8" w:rsidTr="001D2869">
        <w:trPr>
          <w:tblCellSpacing w:w="20" w:type="dxa"/>
        </w:trPr>
        <w:tc>
          <w:tcPr>
            <w:tcW w:w="2634" w:type="dxa"/>
            <w:shd w:val="clear" w:color="auto" w:fill="E0E0E0"/>
          </w:tcPr>
          <w:p w:rsidR="001D2869" w:rsidRPr="00FC7FD8" w:rsidRDefault="001D2869" w:rsidP="0013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Продукция, планируемая к выпуску</w:t>
            </w:r>
          </w:p>
        </w:tc>
        <w:tc>
          <w:tcPr>
            <w:tcW w:w="6885" w:type="dxa"/>
            <w:shd w:val="clear" w:color="auto" w:fill="auto"/>
          </w:tcPr>
          <w:p w:rsidR="001D2869" w:rsidRPr="00FF19D4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Дрожжевой экстракт, адсорбент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микотоксинов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кормовые дрожжи.</w:t>
            </w:r>
          </w:p>
        </w:tc>
      </w:tr>
      <w:tr w:rsidR="001D2869" w:rsidRPr="00FC7FD8" w:rsidTr="001D2869">
        <w:trPr>
          <w:trHeight w:val="913"/>
          <w:tblCellSpacing w:w="20" w:type="dxa"/>
        </w:trPr>
        <w:tc>
          <w:tcPr>
            <w:tcW w:w="2634" w:type="dxa"/>
            <w:shd w:val="clear" w:color="auto" w:fill="E0E0E0"/>
          </w:tcPr>
          <w:p w:rsidR="001D2869" w:rsidRPr="00FC7FD8" w:rsidRDefault="001D2869" w:rsidP="00137B80">
            <w:pPr>
              <w:spacing w:after="0" w:line="240" w:lineRule="auto"/>
              <w:rPr>
                <w:rFonts w:ascii="Calibri" w:eastAsia="Times New Roman" w:hAnsi="Calibri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Инвестиционная площадка (Приложение А)</w:t>
            </w:r>
          </w:p>
          <w:p w:rsidR="001D2869" w:rsidRPr="00FA018E" w:rsidRDefault="001D2869" w:rsidP="0013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69" w:rsidRPr="00FC7FD8" w:rsidRDefault="001D2869" w:rsidP="0013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  <w:shd w:val="clear" w:color="auto" w:fill="auto"/>
          </w:tcPr>
          <w:p w:rsidR="001D2869" w:rsidRPr="00FF19D4" w:rsidRDefault="001D2869" w:rsidP="00137B80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Завод расположен на западе Республики Беларусь, в районном центре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Ошмяны, в 52 км от Вильнюса и в 133 км от Минска. Завод расположен на земельном участке общей площадью 2,04 га. Возле железнодорожной станции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Гудагай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расположены склады для хранения мелассы (площадь участка 0,37 га). Инвестиционная площадка обеспечена необходимыми коммуникациями для осуществления производственной деятельностью: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водоснабжение, электричество, отопление, канализация.</w:t>
            </w:r>
          </w:p>
        </w:tc>
      </w:tr>
      <w:tr w:rsidR="001D2869" w:rsidRPr="001E6101" w:rsidTr="001D2869">
        <w:trPr>
          <w:trHeight w:val="574"/>
          <w:tblCellSpacing w:w="20" w:type="dxa"/>
        </w:trPr>
        <w:tc>
          <w:tcPr>
            <w:tcW w:w="2634" w:type="dxa"/>
            <w:shd w:val="clear" w:color="auto" w:fill="E0E0E0"/>
          </w:tcPr>
          <w:p w:rsidR="001D2869" w:rsidRPr="001E6101" w:rsidRDefault="001D2869" w:rsidP="0013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6885" w:type="dxa"/>
            <w:shd w:val="clear" w:color="auto" w:fill="auto"/>
          </w:tcPr>
          <w:p w:rsidR="001D2869" w:rsidRPr="001E6101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рынок Республики Беларусь</w:t>
            </w:r>
          </w:p>
        </w:tc>
      </w:tr>
      <w:tr w:rsidR="001D2869" w:rsidRPr="00FC7FD8" w:rsidTr="001D2869">
        <w:trPr>
          <w:tblCellSpacing w:w="20" w:type="dxa"/>
        </w:trPr>
        <w:tc>
          <w:tcPr>
            <w:tcW w:w="2634" w:type="dxa"/>
            <w:shd w:val="clear" w:color="auto" w:fill="E0E0E0"/>
          </w:tcPr>
          <w:p w:rsidR="001D2869" w:rsidRPr="00FC7FD8" w:rsidRDefault="001D2869" w:rsidP="0013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рынка</w:t>
            </w:r>
          </w:p>
        </w:tc>
        <w:tc>
          <w:tcPr>
            <w:tcW w:w="6885" w:type="dxa"/>
            <w:shd w:val="clear" w:color="auto" w:fill="auto"/>
          </w:tcPr>
          <w:p w:rsidR="001D2869" w:rsidRPr="00137B80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Дрожжевой экстракт.</w:t>
            </w:r>
          </w:p>
          <w:p w:rsidR="001D2869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Добавка данного типа присутствует в большинстве готовых к употреблению продуктов и полуфабрикатов. Основными потребителями усилителей вкуса выступают производители мясной и рыбной продукции, снеков, полуфабрикатов и др. На мировом рынке пищевых ингредиентов сегодня наблюдается тенденция перехода от искусственных к натуральным добавкам, несмотря на более высокую стоимость натуральных ингредиентов. Спрос на дрожжевой экстракт растет порядка 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в странах Европы и Америки и около 10 % в Китае. </w:t>
            </w:r>
          </w:p>
          <w:p w:rsidR="001D2869" w:rsidRPr="00137B80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Адсорбент </w:t>
            </w:r>
            <w:proofErr w:type="spellStart"/>
            <w:r w:rsidRPr="0013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микотоксинов</w:t>
            </w:r>
            <w:proofErr w:type="spellEnd"/>
            <w:r w:rsidRPr="0013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D2869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Мировой рынок препаратов для борьбы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микотоксинами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в стабильном положении со склонностью к постоянному увеличению спроса,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 связи с ростом загрязнения кормов для сельхозживотных.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Беларуси отсутствуют собственные производства подобных препаратов (около 80-85 % адсорбенты российского производства).</w:t>
            </w:r>
          </w:p>
          <w:p w:rsidR="001D2869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Кормовые дрожжи.</w:t>
            </w:r>
          </w:p>
          <w:p w:rsidR="001D2869" w:rsidRPr="00FC7FD8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 на кормовые добавки находится в прямой зависимости от спроса на продукты животноводства. В свою очередь, потребление животноводческой продукции зависит от численности и благосостояния населения, которое продолжает активно увеличиваться.</w:t>
            </w:r>
          </w:p>
        </w:tc>
      </w:tr>
      <w:tr w:rsidR="001D2869" w:rsidRPr="00E66A21" w:rsidTr="001D2869">
        <w:trPr>
          <w:tblCellSpacing w:w="20" w:type="dxa"/>
        </w:trPr>
        <w:tc>
          <w:tcPr>
            <w:tcW w:w="2634" w:type="dxa"/>
            <w:shd w:val="clear" w:color="auto" w:fill="E0E0E0"/>
          </w:tcPr>
          <w:p w:rsidR="001D2869" w:rsidRPr="00D14B14" w:rsidRDefault="001D2869" w:rsidP="0013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Контакты</w:t>
            </w:r>
          </w:p>
        </w:tc>
        <w:tc>
          <w:tcPr>
            <w:tcW w:w="6885" w:type="dxa"/>
            <w:shd w:val="clear" w:color="auto" w:fill="auto"/>
          </w:tcPr>
          <w:p w:rsidR="001D2869" w:rsidRPr="00AD6F9D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 «Ошмянский дрожжевой завод»</w:t>
            </w:r>
          </w:p>
          <w:p w:rsidR="008E4072" w:rsidRDefault="001D2869" w:rsidP="00137B8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D6F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231103, Республика Беларусь, </w:t>
            </w:r>
            <w:r w:rsidR="008E4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Гродненская область, </w:t>
            </w:r>
          </w:p>
          <w:p w:rsidR="001D2869" w:rsidRPr="00AD6F9D" w:rsidRDefault="001D2869" w:rsidP="00137B8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D6F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Ошмяны, ул. </w:t>
            </w:r>
            <w:proofErr w:type="spellStart"/>
            <w:r w:rsidRPr="00AD6F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Борунская</w:t>
            </w:r>
            <w:proofErr w:type="spellEnd"/>
            <w:r w:rsidRPr="00AD6F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15</w:t>
            </w:r>
          </w:p>
          <w:p w:rsidR="001D2869" w:rsidRPr="001E0124" w:rsidRDefault="008E4072" w:rsidP="00137B8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="001D2869" w:rsidRPr="00AD6F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ел:</w:t>
            </w:r>
            <w:r w:rsidR="001D2869" w:rsidRPr="00AD6F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+375159 3</w:t>
            </w:r>
            <w:r w:rsidR="001D2869" w:rsidRPr="001E0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45126, </w:t>
            </w:r>
            <w:r w:rsidRPr="00AD6F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+375159 </w:t>
            </w:r>
            <w:r w:rsidR="001D2869" w:rsidRPr="001E0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45758, </w:t>
            </w:r>
            <w:r w:rsidRPr="00AD6F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+375159 </w:t>
            </w:r>
            <w:r w:rsidR="001D2869" w:rsidRPr="001E0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43165</w:t>
            </w:r>
            <w:r w:rsidR="001D2869" w:rsidRPr="001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2869" w:rsidRPr="003F70D3" w:rsidRDefault="001D2869" w:rsidP="00137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D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D6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E0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hyperlink r:id="rId4" w:history="1">
              <w:r w:rsidR="00CD5F66" w:rsidRPr="00CD5F66">
                <w:rPr>
                  <w:rStyle w:val="a5"/>
                  <w:rFonts w:ascii="Arial" w:hAnsi="Arial" w:cs="Arial"/>
                  <w:color w:val="446FAF"/>
                  <w:szCs w:val="27"/>
                  <w:shd w:val="clear" w:color="auto" w:fill="FFFFFF"/>
                </w:rPr>
                <w:t>yeastdz@yandex.by</w:t>
              </w:r>
            </w:hyperlink>
            <w:r w:rsidR="00CD5F66" w:rsidRPr="00CD5F66">
              <w:rPr>
                <w:rFonts w:ascii="Calibri" w:hAnsi="Calibri" w:cs="Calibri"/>
                <w:color w:val="393939"/>
                <w:sz w:val="14"/>
                <w:szCs w:val="17"/>
                <w:shd w:val="clear" w:color="auto" w:fill="FFFFFF"/>
              </w:rPr>
              <w:t> </w:t>
            </w:r>
          </w:p>
          <w:p w:rsidR="001D2869" w:rsidRPr="00FC7FD8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Ошмянский районный исполнительный комитет</w:t>
            </w:r>
          </w:p>
          <w:p w:rsidR="001D2869" w:rsidRPr="00FC7FD8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231103, Республика Беларусь, </w:t>
            </w:r>
          </w:p>
          <w:p w:rsidR="001D2869" w:rsidRPr="00FC7FD8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Ошмяны ул. </w:t>
            </w:r>
            <w:proofErr w:type="gramStart"/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103</w:t>
            </w:r>
          </w:p>
          <w:p w:rsidR="001D2869" w:rsidRPr="00FC7FD8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председателя райисполкома</w:t>
            </w:r>
          </w:p>
          <w:p w:rsidR="001D2869" w:rsidRPr="008E4072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8E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+375</w:t>
            </w:r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E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 22106, +375 1593 22146</w:t>
            </w:r>
          </w:p>
          <w:p w:rsidR="001D2869" w:rsidRPr="008E4072" w:rsidRDefault="001D2869" w:rsidP="0013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E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7F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E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734B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econ</w:t>
              </w:r>
              <w:r w:rsidRPr="008E407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734B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oshmiany</w:t>
              </w:r>
              <w:proofErr w:type="spellEnd"/>
              <w:r w:rsidRPr="008E407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34B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8E407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34B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</w:tc>
      </w:tr>
    </w:tbl>
    <w:p w:rsidR="001D2869" w:rsidRPr="008E4072" w:rsidRDefault="001D2869" w:rsidP="001D2869">
      <w:pPr>
        <w:ind w:firstLine="708"/>
      </w:pPr>
    </w:p>
    <w:p w:rsidR="00100FBE" w:rsidRPr="008E4072" w:rsidRDefault="00100FBE" w:rsidP="00100FBE">
      <w:pPr>
        <w:tabs>
          <w:tab w:val="left" w:pos="1037"/>
        </w:tabs>
      </w:pPr>
      <w:r w:rsidRPr="008E4072">
        <w:tab/>
      </w:r>
    </w:p>
    <w:p w:rsidR="00100FBE" w:rsidRPr="008E4072" w:rsidRDefault="00100FBE" w:rsidP="00100FBE">
      <w:pPr>
        <w:tabs>
          <w:tab w:val="left" w:pos="1037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1239BD" w:rsidRPr="00100FBE" w:rsidRDefault="00100FBE" w:rsidP="00100FBE">
      <w:pPr>
        <w:tabs>
          <w:tab w:val="left" w:pos="1037"/>
        </w:tabs>
        <w:jc w:val="right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582295</wp:posOffset>
            </wp:positionV>
            <wp:extent cx="5707380" cy="3444875"/>
            <wp:effectExtent l="19050" t="0" r="7620" b="0"/>
            <wp:wrapTight wrapText="bothSides">
              <wp:wrapPolygon edited="0">
                <wp:start x="-72" y="0"/>
                <wp:lineTo x="-72" y="21500"/>
                <wp:lineTo x="21629" y="21500"/>
                <wp:lineTo x="21629" y="0"/>
                <wp:lineTo x="-7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854" t="19474" r="21883" b="15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FBE">
        <w:rPr>
          <w:rFonts w:ascii="Times New Roman" w:hAnsi="Times New Roman" w:cs="Times New Roman"/>
          <w:sz w:val="30"/>
          <w:szCs w:val="30"/>
        </w:rPr>
        <w:t>Приложение</w:t>
      </w:r>
      <w:proofErr w:type="gramStart"/>
      <w:r w:rsidRPr="00100FBE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</w:p>
    <w:sectPr w:rsidR="001239BD" w:rsidRPr="00100FBE" w:rsidSect="0012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2869"/>
    <w:rsid w:val="00100FBE"/>
    <w:rsid w:val="001239BD"/>
    <w:rsid w:val="00137B80"/>
    <w:rsid w:val="001D2869"/>
    <w:rsid w:val="004221EB"/>
    <w:rsid w:val="00590F19"/>
    <w:rsid w:val="006F6415"/>
    <w:rsid w:val="008E4072"/>
    <w:rsid w:val="00905F1E"/>
    <w:rsid w:val="00CD5F66"/>
    <w:rsid w:val="00E66A21"/>
    <w:rsid w:val="00E75414"/>
    <w:rsid w:val="00F7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8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28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con@oshmiany.gov.by" TargetMode="External"/><Relationship Id="rId4" Type="http://schemas.openxmlformats.org/officeDocument/2006/relationships/hyperlink" Target="mailto:yeastdz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Баранович</dc:creator>
  <cp:lastModifiedBy>Юлия Баранович</cp:lastModifiedBy>
  <cp:revision>5</cp:revision>
  <cp:lastPrinted>2021-02-15T09:42:00Z</cp:lastPrinted>
  <dcterms:created xsi:type="dcterms:W3CDTF">2021-02-15T06:15:00Z</dcterms:created>
  <dcterms:modified xsi:type="dcterms:W3CDTF">2023-05-15T12:52:00Z</dcterms:modified>
</cp:coreProperties>
</file>